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B826E" w14:textId="77777777" w:rsidR="00852E42" w:rsidRDefault="00852E42">
      <w:pPr>
        <w:rPr>
          <w:noProof/>
          <w:sz w:val="5"/>
        </w:rPr>
      </w:pPr>
    </w:p>
    <w:p w14:paraId="74D150BA" w14:textId="77777777" w:rsidR="00852E42" w:rsidRDefault="00852E42">
      <w:pPr>
        <w:rPr>
          <w:noProof/>
          <w:sz w:val="5"/>
        </w:rPr>
      </w:pPr>
    </w:p>
    <w:p w14:paraId="7BC46265" w14:textId="77777777" w:rsidR="00852E42" w:rsidRDefault="00852E42">
      <w:pPr>
        <w:rPr>
          <w:noProof/>
          <w:sz w:val="5"/>
        </w:rPr>
      </w:pPr>
    </w:p>
    <w:p w14:paraId="34BFC9F2" w14:textId="336C37AC" w:rsidR="00852E42" w:rsidRDefault="00852E42" w:rsidP="00852E42">
      <w:pPr>
        <w:spacing w:before="10"/>
        <w:ind w:left="20"/>
        <w:jc w:val="center"/>
        <w:rPr>
          <w:b/>
          <w:sz w:val="31"/>
        </w:rPr>
      </w:pPr>
      <w:proofErr w:type="spellStart"/>
      <w:r w:rsidRPr="006F21AE">
        <w:rPr>
          <w:b/>
          <w:sz w:val="31"/>
        </w:rPr>
        <w:t>CenterPointe</w:t>
      </w:r>
      <w:proofErr w:type="spellEnd"/>
      <w:r w:rsidRPr="006F21AE">
        <w:rPr>
          <w:b/>
          <w:sz w:val="31"/>
        </w:rPr>
        <w:t xml:space="preserve"> Hospital</w:t>
      </w:r>
    </w:p>
    <w:p w14:paraId="59A07EA0" w14:textId="77777777" w:rsidR="00852E42" w:rsidRPr="006F21AE" w:rsidRDefault="00852E42" w:rsidP="00852E42">
      <w:pPr>
        <w:spacing w:before="10"/>
        <w:ind w:left="20"/>
        <w:jc w:val="center"/>
        <w:rPr>
          <w:b/>
          <w:sz w:val="31"/>
        </w:rPr>
      </w:pPr>
    </w:p>
    <w:p w14:paraId="65B434E7" w14:textId="77777777" w:rsidR="00852E42" w:rsidRDefault="00852E42">
      <w:pPr>
        <w:rPr>
          <w:noProof/>
          <w:sz w:val="5"/>
        </w:rPr>
      </w:pPr>
    </w:p>
    <w:p w14:paraId="3CB2DC72" w14:textId="77777777" w:rsidR="00852E42" w:rsidRDefault="00852E42">
      <w:pPr>
        <w:rPr>
          <w:noProof/>
          <w:sz w:val="5"/>
        </w:rPr>
      </w:pPr>
    </w:p>
    <w:p w14:paraId="4E707E6E" w14:textId="4D5E7B73" w:rsidR="002B1E2F" w:rsidRDefault="007B306F">
      <w:pPr>
        <w:rPr>
          <w:rFonts w:ascii="Arial" w:hAnsi="Arial" w:cs="Arial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5B855009" wp14:editId="245C3F37">
                <wp:extent cx="5486400" cy="29011"/>
                <wp:effectExtent l="0" t="0" r="19050" b="9525"/>
                <wp:docPr id="7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9011"/>
                          <a:chOff x="0" y="0"/>
                          <a:chExt cx="10023" cy="53"/>
                        </a:xfrm>
                      </wpg:grpSpPr>
                      <wps:wsp>
                        <wps:cNvPr id="7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7" y="27"/>
                            <a:ext cx="9969" cy="0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EB041" id="Group 14" o:spid="_x0000_s1026" style="width:6in;height:2.3pt;mso-position-horizontal-relative:char;mso-position-vertical-relative:line" coordsize="1002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">
                <v:line id="Line 15" o:spid="_x0000_s1027" style="position:absolute;visibility:visible;mso-wrap-style:square" from="27,27" to="9996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" strokeweight="2.64pt"/>
                <w10:anchorlock/>
              </v:group>
            </w:pict>
          </mc:Fallback>
        </mc:AlternateContent>
      </w:r>
    </w:p>
    <w:p w14:paraId="4CAF1CD9" w14:textId="77777777" w:rsidR="007B306F" w:rsidRDefault="007B306F" w:rsidP="007B306F">
      <w:pPr>
        <w:rPr>
          <w:rFonts w:ascii="Arial" w:hAnsi="Arial" w:cs="Arial"/>
          <w:sz w:val="27"/>
          <w:szCs w:val="27"/>
        </w:rPr>
      </w:pPr>
      <w:r w:rsidRPr="007B306F">
        <w:rPr>
          <w:rFonts w:ascii="Arial" w:hAnsi="Arial" w:cs="Arial"/>
          <w:sz w:val="27"/>
          <w:szCs w:val="27"/>
        </w:rPr>
        <w:t>Section:</w:t>
      </w:r>
      <w:r>
        <w:rPr>
          <w:rFonts w:ascii="Arial" w:hAnsi="Arial" w:cs="Arial"/>
          <w:sz w:val="27"/>
          <w:szCs w:val="27"/>
        </w:rPr>
        <w:tab/>
        <w:t xml:space="preserve">Financial Assistance 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Effective Date: 3/7/17</w:t>
      </w:r>
    </w:p>
    <w:p w14:paraId="74F29755" w14:textId="77777777" w:rsidR="007B306F" w:rsidRDefault="007B306F" w:rsidP="007B306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Subject:</w:t>
      </w:r>
      <w:r>
        <w:rPr>
          <w:rFonts w:ascii="Arial" w:hAnsi="Arial" w:cs="Arial"/>
          <w:sz w:val="27"/>
          <w:szCs w:val="27"/>
        </w:rPr>
        <w:tab/>
        <w:t xml:space="preserve">Financial </w:t>
      </w:r>
      <w:r w:rsidR="005A6554">
        <w:rPr>
          <w:rFonts w:ascii="Arial" w:hAnsi="Arial" w:cs="Arial"/>
          <w:sz w:val="27"/>
          <w:szCs w:val="27"/>
        </w:rPr>
        <w:t>Assistance</w:t>
      </w:r>
      <w:r>
        <w:rPr>
          <w:rFonts w:ascii="Arial" w:hAnsi="Arial" w:cs="Arial"/>
          <w:sz w:val="27"/>
          <w:szCs w:val="27"/>
        </w:rPr>
        <w:t xml:space="preserve"> Adjustments</w:t>
      </w:r>
      <w:r>
        <w:rPr>
          <w:rFonts w:ascii="Arial" w:hAnsi="Arial" w:cs="Arial"/>
          <w:sz w:val="27"/>
          <w:szCs w:val="27"/>
        </w:rPr>
        <w:tab/>
        <w:t>Revision Date:</w:t>
      </w:r>
      <w:r w:rsidR="00C405AA">
        <w:rPr>
          <w:rFonts w:ascii="Arial" w:hAnsi="Arial" w:cs="Arial"/>
          <w:sz w:val="27"/>
          <w:szCs w:val="27"/>
        </w:rPr>
        <w:t xml:space="preserve"> 7/16/18</w:t>
      </w:r>
    </w:p>
    <w:p w14:paraId="19A4844E" w14:textId="77777777" w:rsidR="007B306F" w:rsidRPr="007B306F" w:rsidRDefault="007B306F" w:rsidP="007B306F">
      <w:pPr>
        <w:rPr>
          <w:rFonts w:ascii="Arial" w:hAnsi="Arial" w:cs="Arial"/>
          <w:sz w:val="27"/>
          <w:szCs w:val="27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4DDCB54B" wp14:editId="2723D1B8">
                <wp:extent cx="5486400" cy="28997"/>
                <wp:effectExtent l="0" t="0" r="19050" b="9525"/>
                <wp:docPr id="7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8997"/>
                          <a:chOff x="0" y="0"/>
                          <a:chExt cx="10028" cy="53"/>
                        </a:xfrm>
                      </wpg:grpSpPr>
                      <wps:wsp>
                        <wps:cNvPr id="7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7" y="27"/>
                            <a:ext cx="9974" cy="0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F9D0A" id="Group 12" o:spid="_x0000_s1026" style="width:6in;height:2.3pt;mso-position-horizontal-relative:char;mso-position-vertical-relative:line" coordsize="1002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">
                <v:line id="Line 13" o:spid="_x0000_s1027" style="position:absolute;visibility:visible;mso-wrap-style:square" from="27,27" to="10001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" strokeweight="2.64pt"/>
                <w10:anchorlock/>
              </v:group>
            </w:pict>
          </mc:Fallback>
        </mc:AlternateContent>
      </w:r>
    </w:p>
    <w:p w14:paraId="57745184" w14:textId="77777777" w:rsidR="007B306F" w:rsidRDefault="007B306F" w:rsidP="007B306F"/>
    <w:p w14:paraId="2468231A" w14:textId="77777777" w:rsidR="007B306F" w:rsidRPr="007B306F" w:rsidRDefault="007B306F" w:rsidP="007B306F">
      <w:pPr>
        <w:rPr>
          <w:rFonts w:ascii="Arial" w:hAnsi="Arial" w:cs="Arial"/>
          <w:sz w:val="26"/>
          <w:szCs w:val="26"/>
        </w:rPr>
      </w:pPr>
    </w:p>
    <w:p w14:paraId="4A17505F" w14:textId="77777777" w:rsidR="003E46DF" w:rsidRPr="003417B0" w:rsidRDefault="003E46DF" w:rsidP="003E46DF">
      <w:pPr>
        <w:pStyle w:val="Standard"/>
        <w:autoSpaceDE w:val="0"/>
        <w:rPr>
          <w:rFonts w:ascii="Arial" w:hAnsi="Arial" w:cs="Arial"/>
          <w:strike/>
        </w:rPr>
      </w:pPr>
      <w:r w:rsidRPr="007B306F">
        <w:rPr>
          <w:rFonts w:ascii="Arial" w:eastAsia="Times New Roman" w:hAnsi="Arial" w:cs="Arial"/>
          <w:color w:val="000000"/>
          <w:sz w:val="26"/>
          <w:szCs w:val="26"/>
        </w:rPr>
        <w:t>CenterPointe</w:t>
      </w:r>
      <w:r w:rsidRPr="003E46DF">
        <w:rPr>
          <w:rFonts w:ascii="Arial" w:eastAsia="Times New Roman" w:hAnsi="Arial" w:cs="Arial"/>
          <w:color w:val="000000"/>
          <w:sz w:val="23"/>
          <w:szCs w:val="23"/>
        </w:rPr>
        <w:t xml:space="preserve"> Health System is committed to providing </w:t>
      </w:r>
      <w:r w:rsidR="00DC5FD3">
        <w:rPr>
          <w:rFonts w:ascii="Arial" w:eastAsia="Times New Roman" w:hAnsi="Arial" w:cs="Arial"/>
          <w:color w:val="000000"/>
          <w:sz w:val="23"/>
          <w:szCs w:val="23"/>
        </w:rPr>
        <w:t xml:space="preserve">financial assistance </w:t>
      </w:r>
      <w:r w:rsidRPr="003E46DF">
        <w:rPr>
          <w:rFonts w:ascii="Arial" w:eastAsia="Times New Roman" w:hAnsi="Arial" w:cs="Arial"/>
          <w:color w:val="000000"/>
          <w:sz w:val="23"/>
          <w:szCs w:val="23"/>
        </w:rPr>
        <w:t>to persons who have healthcare needs and are uninsured, underinsured, ineligible for a government program, or otherwise unable to pay, for medically necessary care based on their individual financial situation.</w:t>
      </w:r>
      <w:r w:rsidR="00906AB3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3E46D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7B7321A1" w14:textId="77777777" w:rsidR="003E46DF" w:rsidRPr="007B306F" w:rsidRDefault="003E46DF">
      <w:pPr>
        <w:rPr>
          <w:rFonts w:ascii="Arial" w:hAnsi="Arial" w:cs="Arial"/>
          <w:b/>
          <w:sz w:val="21"/>
          <w:szCs w:val="21"/>
          <w:u w:val="single"/>
        </w:rPr>
      </w:pPr>
    </w:p>
    <w:p w14:paraId="0ADE0485" w14:textId="77777777" w:rsidR="002B1E2F" w:rsidRPr="007B306F" w:rsidRDefault="002B1E2F">
      <w:pPr>
        <w:rPr>
          <w:rFonts w:ascii="Arial" w:hAnsi="Arial" w:cs="Arial"/>
          <w:b/>
          <w:sz w:val="21"/>
          <w:szCs w:val="21"/>
        </w:rPr>
      </w:pPr>
      <w:r w:rsidRPr="007B306F">
        <w:rPr>
          <w:rFonts w:ascii="Arial" w:hAnsi="Arial" w:cs="Arial"/>
          <w:b/>
          <w:sz w:val="21"/>
          <w:szCs w:val="21"/>
        </w:rPr>
        <w:t>Policy</w:t>
      </w:r>
      <w:r w:rsidR="007B306F" w:rsidRPr="007B306F">
        <w:rPr>
          <w:rFonts w:ascii="Arial" w:hAnsi="Arial" w:cs="Arial"/>
          <w:b/>
          <w:sz w:val="21"/>
          <w:szCs w:val="21"/>
        </w:rPr>
        <w:t>:</w:t>
      </w:r>
    </w:p>
    <w:p w14:paraId="02600C81" w14:textId="77777777" w:rsidR="002B1E2F" w:rsidRDefault="002B1E2F">
      <w:pPr>
        <w:rPr>
          <w:rFonts w:ascii="Arial" w:hAnsi="Arial" w:cs="Arial"/>
          <w:b/>
          <w:u w:val="single"/>
        </w:rPr>
      </w:pPr>
    </w:p>
    <w:p w14:paraId="39CC6E74" w14:textId="77777777" w:rsidR="002B1E2F" w:rsidRDefault="007E5D98" w:rsidP="007B306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the purposes of this policy, financial assistance </w:t>
      </w:r>
      <w:r w:rsidR="00330AFC">
        <w:rPr>
          <w:rFonts w:ascii="Arial" w:hAnsi="Arial" w:cs="Arial"/>
          <w:sz w:val="22"/>
          <w:szCs w:val="22"/>
        </w:rPr>
        <w:t xml:space="preserve">and/or charity care </w:t>
      </w:r>
      <w:r>
        <w:rPr>
          <w:rFonts w:ascii="Arial" w:hAnsi="Arial" w:cs="Arial"/>
          <w:sz w:val="22"/>
          <w:szCs w:val="22"/>
        </w:rPr>
        <w:t>refers to healthcare services provided by CenterPointe Health System at a discount</w:t>
      </w:r>
      <w:r w:rsidR="00057416">
        <w:rPr>
          <w:rFonts w:ascii="Arial" w:hAnsi="Arial" w:cs="Arial"/>
          <w:sz w:val="22"/>
          <w:szCs w:val="22"/>
        </w:rPr>
        <w:t xml:space="preserve">ed rate. </w:t>
      </w:r>
      <w:r w:rsidR="00FF6763" w:rsidRPr="003E46DF">
        <w:rPr>
          <w:rFonts w:ascii="Arial" w:hAnsi="Arial" w:cs="Arial"/>
          <w:sz w:val="22"/>
          <w:szCs w:val="22"/>
        </w:rPr>
        <w:t xml:space="preserve">If a </w:t>
      </w:r>
      <w:r w:rsidR="003E46DF">
        <w:rPr>
          <w:rFonts w:ascii="Arial" w:hAnsi="Arial" w:cs="Arial"/>
          <w:sz w:val="22"/>
          <w:szCs w:val="22"/>
        </w:rPr>
        <w:t>patient</w:t>
      </w:r>
      <w:r>
        <w:rPr>
          <w:rFonts w:ascii="Arial" w:hAnsi="Arial" w:cs="Arial"/>
          <w:sz w:val="22"/>
          <w:szCs w:val="22"/>
        </w:rPr>
        <w:t xml:space="preserve"> i</w:t>
      </w:r>
      <w:r w:rsidR="00FF6763" w:rsidRPr="003E46DF">
        <w:rPr>
          <w:rFonts w:ascii="Arial" w:hAnsi="Arial" w:cs="Arial"/>
          <w:sz w:val="22"/>
          <w:szCs w:val="22"/>
        </w:rPr>
        <w:t xml:space="preserve">s covered by Medicaid, their spend-down amount is considered an ability to pay.  </w:t>
      </w:r>
      <w:r w:rsidR="00057416">
        <w:rPr>
          <w:rFonts w:ascii="Arial" w:hAnsi="Arial" w:cs="Arial"/>
          <w:sz w:val="22"/>
          <w:szCs w:val="22"/>
        </w:rPr>
        <w:t>A patient/guarantor’s</w:t>
      </w:r>
      <w:r w:rsidR="00FF6763" w:rsidRPr="003E46DF">
        <w:rPr>
          <w:rFonts w:ascii="Arial" w:hAnsi="Arial" w:cs="Arial"/>
          <w:sz w:val="22"/>
          <w:szCs w:val="22"/>
        </w:rPr>
        <w:t xml:space="preserve"> ability to pay may be </w:t>
      </w:r>
      <w:r w:rsidR="00057416" w:rsidRPr="003E46DF">
        <w:rPr>
          <w:rFonts w:ascii="Arial" w:hAnsi="Arial" w:cs="Arial"/>
          <w:sz w:val="22"/>
          <w:szCs w:val="22"/>
        </w:rPr>
        <w:t>moderated</w:t>
      </w:r>
      <w:r w:rsidR="00FF6763" w:rsidRPr="003E46DF">
        <w:rPr>
          <w:rFonts w:ascii="Arial" w:hAnsi="Arial" w:cs="Arial"/>
          <w:sz w:val="22"/>
          <w:szCs w:val="22"/>
        </w:rPr>
        <w:t xml:space="preserve"> by the </w:t>
      </w:r>
      <w:r>
        <w:rPr>
          <w:rFonts w:ascii="Arial" w:hAnsi="Arial" w:cs="Arial"/>
          <w:sz w:val="22"/>
          <w:szCs w:val="22"/>
        </w:rPr>
        <w:t>CenterPointe</w:t>
      </w:r>
      <w:r w:rsidR="00FF6763" w:rsidRPr="003E46DF">
        <w:rPr>
          <w:rFonts w:ascii="Arial" w:hAnsi="Arial" w:cs="Arial"/>
          <w:sz w:val="22"/>
          <w:szCs w:val="22"/>
        </w:rPr>
        <w:t xml:space="preserve"> sliding fee scale, based upon their income</w:t>
      </w:r>
      <w:r w:rsidR="00C405AA">
        <w:rPr>
          <w:rFonts w:ascii="Arial" w:hAnsi="Arial" w:cs="Arial"/>
          <w:sz w:val="22"/>
          <w:szCs w:val="22"/>
        </w:rPr>
        <w:t xml:space="preserve"> and potentially debt to income</w:t>
      </w:r>
      <w:r w:rsidR="00FF6763" w:rsidRPr="003E46DF">
        <w:rPr>
          <w:rFonts w:ascii="Arial" w:hAnsi="Arial" w:cs="Arial"/>
          <w:sz w:val="22"/>
          <w:szCs w:val="22"/>
        </w:rPr>
        <w:t>.</w:t>
      </w:r>
    </w:p>
    <w:p w14:paraId="72B63DD1" w14:textId="77777777" w:rsidR="007E5D98" w:rsidRDefault="007E5D98" w:rsidP="006D1C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6E7E6D" w14:textId="77777777" w:rsidR="007B306F" w:rsidRDefault="007B306F" w:rsidP="006D1C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7D02CC" wp14:editId="6AE1104B">
                <wp:extent cx="5486400" cy="13226"/>
                <wp:effectExtent l="0" t="0" r="19050" b="6350"/>
                <wp:docPr id="6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3226"/>
                          <a:chOff x="0" y="0"/>
                          <a:chExt cx="9956" cy="24"/>
                        </a:xfrm>
                      </wpg:grpSpPr>
                      <wps:wsp>
                        <wps:cNvPr id="7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" y="12"/>
                            <a:ext cx="9931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FB5C6" id="Group 10" o:spid="_x0000_s1026" style="width:6in;height:1.05pt;mso-position-horizontal-relative:char;mso-position-vertical-relative:line" coordsize="995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">
                <v:line id="Line 11" o:spid="_x0000_s1027" style="position:absolute;visibility:visible;mso-wrap-style:square" from="12,12" to="994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" strokeweight="1.2pt"/>
                <w10:anchorlock/>
              </v:group>
            </w:pict>
          </mc:Fallback>
        </mc:AlternateContent>
      </w:r>
    </w:p>
    <w:p w14:paraId="2DF4ED0C" w14:textId="77777777" w:rsidR="007B306F" w:rsidRDefault="007B306F" w:rsidP="006D1C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36A9D8" w14:textId="77777777" w:rsidR="003E46DF" w:rsidRPr="003E46DF" w:rsidRDefault="003E46DF" w:rsidP="00861A94">
      <w:pPr>
        <w:rPr>
          <w:rFonts w:ascii="Arial-BoldMT" w:hAnsi="Arial-BoldMT" w:cs="Arial-BoldMT"/>
          <w:b/>
          <w:bCs/>
          <w:sz w:val="22"/>
          <w:szCs w:val="22"/>
        </w:rPr>
      </w:pPr>
      <w:r w:rsidRPr="003E46DF">
        <w:rPr>
          <w:rFonts w:ascii="Arial-BoldMT" w:hAnsi="Arial-BoldMT" w:cs="Arial-BoldMT"/>
          <w:b/>
          <w:bCs/>
          <w:sz w:val="22"/>
          <w:szCs w:val="22"/>
        </w:rPr>
        <w:t xml:space="preserve">Eligibility Criteria and Amounts Charged to </w:t>
      </w:r>
      <w:r w:rsidR="00DE11FA">
        <w:rPr>
          <w:rFonts w:ascii="Arial-BoldMT" w:hAnsi="Arial-BoldMT" w:cs="Arial-BoldMT"/>
          <w:b/>
          <w:bCs/>
          <w:sz w:val="22"/>
          <w:szCs w:val="22"/>
        </w:rPr>
        <w:t>Patient</w:t>
      </w:r>
    </w:p>
    <w:p w14:paraId="541E9E0E" w14:textId="77777777" w:rsidR="00861A94" w:rsidRDefault="00861A94" w:rsidP="00861A94">
      <w:pPr>
        <w:rPr>
          <w:rFonts w:ascii="Arial-BoldMT" w:hAnsi="Arial-BoldMT" w:cs="Arial-BoldMT"/>
          <w:b/>
          <w:bCs/>
        </w:rPr>
      </w:pPr>
    </w:p>
    <w:p w14:paraId="35A27014" w14:textId="77777777" w:rsidR="00BF575B" w:rsidRPr="00BF575B" w:rsidRDefault="00BF575B" w:rsidP="003E46DF">
      <w:pPr>
        <w:shd w:val="clear" w:color="auto" w:fill="FFFFFF"/>
        <w:ind w:right="300"/>
        <w:rPr>
          <w:rFonts w:ascii="Arial" w:hAnsi="Arial" w:cs="Arial"/>
          <w:color w:val="000000"/>
          <w:sz w:val="22"/>
          <w:szCs w:val="22"/>
        </w:rPr>
      </w:pPr>
      <w:r w:rsidRPr="00BF575B">
        <w:rPr>
          <w:rFonts w:ascii="Arial" w:hAnsi="Arial" w:cs="Arial"/>
          <w:color w:val="000000"/>
          <w:sz w:val="22"/>
          <w:szCs w:val="22"/>
        </w:rPr>
        <w:t xml:space="preserve">Financial assistance/charity care is </w:t>
      </w:r>
      <w:r w:rsidR="00057416" w:rsidRPr="00BF575B">
        <w:rPr>
          <w:rFonts w:ascii="Arial" w:hAnsi="Arial" w:cs="Arial"/>
          <w:color w:val="000000"/>
          <w:sz w:val="22"/>
          <w:szCs w:val="22"/>
        </w:rPr>
        <w:t>based</w:t>
      </w:r>
      <w:r w:rsidRPr="00BF575B">
        <w:rPr>
          <w:rFonts w:ascii="Arial" w:hAnsi="Arial" w:cs="Arial"/>
          <w:color w:val="000000"/>
          <w:sz w:val="22"/>
          <w:szCs w:val="22"/>
        </w:rPr>
        <w:t xml:space="preserve"> upon the completion of the Financial </w:t>
      </w:r>
      <w:r w:rsidR="00057416">
        <w:rPr>
          <w:rFonts w:ascii="Arial" w:hAnsi="Arial" w:cs="Arial"/>
          <w:color w:val="000000"/>
          <w:sz w:val="22"/>
          <w:szCs w:val="22"/>
        </w:rPr>
        <w:t>Assistance Application</w:t>
      </w:r>
      <w:r w:rsidRPr="00BF575B">
        <w:rPr>
          <w:rFonts w:ascii="Arial" w:hAnsi="Arial" w:cs="Arial"/>
          <w:color w:val="000000"/>
          <w:sz w:val="22"/>
          <w:szCs w:val="22"/>
        </w:rPr>
        <w:t xml:space="preserve">. An individual's failure to comply with our documentation </w:t>
      </w:r>
      <w:r w:rsidR="00057416">
        <w:rPr>
          <w:rFonts w:ascii="Arial" w:hAnsi="Arial" w:cs="Arial"/>
          <w:color w:val="000000"/>
          <w:sz w:val="22"/>
          <w:szCs w:val="22"/>
        </w:rPr>
        <w:t>request may be</w:t>
      </w:r>
      <w:r w:rsidRPr="00BF575B">
        <w:rPr>
          <w:rFonts w:ascii="Arial" w:hAnsi="Arial" w:cs="Arial"/>
          <w:color w:val="000000"/>
          <w:sz w:val="22"/>
          <w:szCs w:val="22"/>
        </w:rPr>
        <w:t xml:space="preserve"> excluded from consideration.</w:t>
      </w:r>
    </w:p>
    <w:p w14:paraId="33B285CF" w14:textId="77777777" w:rsidR="00BF575B" w:rsidRDefault="00BF575B" w:rsidP="003E46DF">
      <w:pPr>
        <w:shd w:val="clear" w:color="auto" w:fill="FFFFFF"/>
        <w:ind w:right="300"/>
        <w:rPr>
          <w:rFonts w:ascii="Arial" w:hAnsi="Arial" w:cs="Arial"/>
          <w:color w:val="000000"/>
          <w:sz w:val="22"/>
          <w:szCs w:val="22"/>
        </w:rPr>
      </w:pPr>
    </w:p>
    <w:p w14:paraId="62C4282B" w14:textId="77777777" w:rsidR="003E46DF" w:rsidRPr="003E46DF" w:rsidRDefault="003E46DF" w:rsidP="003E46DF">
      <w:pPr>
        <w:shd w:val="clear" w:color="auto" w:fill="FFFFFF"/>
        <w:ind w:right="300"/>
        <w:rPr>
          <w:rFonts w:ascii="Arial" w:hAnsi="Arial" w:cs="Arial"/>
          <w:color w:val="000000"/>
          <w:sz w:val="22"/>
          <w:szCs w:val="22"/>
        </w:rPr>
      </w:pPr>
      <w:r w:rsidRPr="003E46DF">
        <w:rPr>
          <w:rFonts w:ascii="Arial" w:hAnsi="Arial" w:cs="Arial"/>
          <w:color w:val="000000"/>
          <w:sz w:val="22"/>
          <w:szCs w:val="22"/>
        </w:rPr>
        <w:t xml:space="preserve">Completion of the Financial </w:t>
      </w:r>
      <w:r w:rsidR="00057416">
        <w:rPr>
          <w:rFonts w:ascii="Arial" w:hAnsi="Arial" w:cs="Arial"/>
          <w:color w:val="000000"/>
          <w:sz w:val="22"/>
          <w:szCs w:val="22"/>
        </w:rPr>
        <w:t>Assistance Application</w:t>
      </w:r>
      <w:r w:rsidRPr="003E46DF">
        <w:rPr>
          <w:rFonts w:ascii="Arial" w:hAnsi="Arial" w:cs="Arial"/>
          <w:color w:val="000000"/>
          <w:sz w:val="22"/>
          <w:szCs w:val="22"/>
        </w:rPr>
        <w:t xml:space="preserve"> will include but may not be limited to:</w:t>
      </w:r>
    </w:p>
    <w:p w14:paraId="1A45EEE3" w14:textId="77777777" w:rsidR="003E46DF" w:rsidRDefault="003E46DF" w:rsidP="003E46DF">
      <w:pPr>
        <w:shd w:val="clear" w:color="auto" w:fill="FFFFFF"/>
        <w:ind w:left="300" w:right="300"/>
        <w:rPr>
          <w:rFonts w:ascii="Arial" w:hAnsi="Arial" w:cs="Arial"/>
          <w:color w:val="000000"/>
          <w:sz w:val="22"/>
          <w:szCs w:val="22"/>
        </w:rPr>
      </w:pPr>
    </w:p>
    <w:p w14:paraId="07EA3836" w14:textId="77777777" w:rsidR="003E46DF" w:rsidRPr="003E46DF" w:rsidRDefault="003E46DF" w:rsidP="003E46DF">
      <w:pPr>
        <w:shd w:val="clear" w:color="auto" w:fill="FFFFFF"/>
        <w:ind w:left="300" w:right="300"/>
        <w:rPr>
          <w:rFonts w:ascii="Arial" w:hAnsi="Arial" w:cs="Arial"/>
          <w:color w:val="000000"/>
          <w:sz w:val="22"/>
          <w:szCs w:val="22"/>
        </w:rPr>
      </w:pPr>
      <w:r w:rsidRPr="003E46DF">
        <w:rPr>
          <w:rFonts w:ascii="Arial" w:hAnsi="Arial" w:cs="Arial"/>
          <w:color w:val="000000"/>
          <w:sz w:val="22"/>
          <w:szCs w:val="22"/>
        </w:rPr>
        <w:t>Demographic Information </w:t>
      </w:r>
      <w:r w:rsidRPr="003E46DF">
        <w:rPr>
          <w:rFonts w:ascii="Arial" w:hAnsi="Arial" w:cs="Arial"/>
          <w:color w:val="000000"/>
          <w:sz w:val="22"/>
          <w:szCs w:val="22"/>
        </w:rPr>
        <w:br/>
        <w:t xml:space="preserve">Sources of income </w:t>
      </w:r>
      <w:r w:rsidRPr="003E46DF">
        <w:rPr>
          <w:rFonts w:ascii="Arial" w:hAnsi="Arial" w:cs="Arial"/>
          <w:color w:val="000000"/>
          <w:sz w:val="22"/>
          <w:szCs w:val="22"/>
        </w:rPr>
        <w:br/>
        <w:t xml:space="preserve">Monthly earnings from employer </w:t>
      </w:r>
      <w:r w:rsidRPr="003E46DF">
        <w:rPr>
          <w:rFonts w:ascii="Arial" w:hAnsi="Arial" w:cs="Arial"/>
          <w:color w:val="000000"/>
          <w:sz w:val="22"/>
          <w:szCs w:val="22"/>
        </w:rPr>
        <w:br/>
        <w:t xml:space="preserve">Total household income </w:t>
      </w:r>
      <w:r w:rsidRPr="003E46DF">
        <w:rPr>
          <w:rFonts w:ascii="Arial" w:hAnsi="Arial" w:cs="Arial"/>
          <w:color w:val="000000"/>
          <w:sz w:val="22"/>
          <w:szCs w:val="22"/>
        </w:rPr>
        <w:br/>
        <w:t xml:space="preserve">Monthly expenses </w:t>
      </w:r>
      <w:r w:rsidRPr="003E46DF">
        <w:rPr>
          <w:rFonts w:ascii="Arial" w:hAnsi="Arial" w:cs="Arial"/>
          <w:color w:val="000000"/>
          <w:sz w:val="22"/>
          <w:szCs w:val="22"/>
        </w:rPr>
        <w:br/>
        <w:t xml:space="preserve">Asset and liability information </w:t>
      </w:r>
      <w:r w:rsidRPr="003E46DF">
        <w:rPr>
          <w:rFonts w:ascii="Arial" w:hAnsi="Arial" w:cs="Arial"/>
          <w:color w:val="000000"/>
          <w:sz w:val="22"/>
          <w:szCs w:val="22"/>
        </w:rPr>
        <w:br/>
        <w:t>Proof of income (current tax returns, current pay stubs, current bank statements)</w:t>
      </w:r>
    </w:p>
    <w:p w14:paraId="3F7B1681" w14:textId="77777777" w:rsidR="007E5D98" w:rsidRDefault="007E5D98" w:rsidP="007E5D98">
      <w:pPr>
        <w:pStyle w:val="Standard"/>
        <w:autoSpaceDE w:val="0"/>
        <w:rPr>
          <w:rFonts w:eastAsia="Times New Roman" w:cs="Times New Roman"/>
          <w:sz w:val="23"/>
          <w:szCs w:val="23"/>
        </w:rPr>
      </w:pPr>
    </w:p>
    <w:p w14:paraId="701B371D" w14:textId="77777777" w:rsidR="003417B0" w:rsidRDefault="007E5D98" w:rsidP="00C405AA">
      <w:pPr>
        <w:pStyle w:val="Standard"/>
        <w:autoSpaceDE w:val="0"/>
        <w:rPr>
          <w:rFonts w:ascii="Arial" w:eastAsia="Times New Roman" w:hAnsi="Arial" w:cs="Arial"/>
          <w:sz w:val="22"/>
          <w:szCs w:val="22"/>
        </w:rPr>
      </w:pPr>
      <w:r w:rsidRPr="007E5D98">
        <w:rPr>
          <w:rFonts w:ascii="Arial" w:eastAsia="Times New Roman" w:hAnsi="Arial" w:cs="Arial"/>
          <w:sz w:val="22"/>
          <w:szCs w:val="22"/>
        </w:rPr>
        <w:t>Services eligible under this Policy will be made available to the patient on a sliding fee scale, in accordance with financial need, as determined in reference to Federal Poverty Levels (FPL) in effect at</w:t>
      </w:r>
      <w:r w:rsidR="00C405AA">
        <w:rPr>
          <w:rFonts w:ascii="Arial" w:eastAsia="Times New Roman" w:hAnsi="Arial" w:cs="Arial"/>
          <w:sz w:val="22"/>
          <w:szCs w:val="22"/>
        </w:rPr>
        <w:t xml:space="preserve"> the time of the determination. In order for debt to be considered and deducted from income the Financial Worksheet must be completed and documents supporting must be supplied. </w:t>
      </w:r>
    </w:p>
    <w:p w14:paraId="5F1E5516" w14:textId="77777777" w:rsidR="00C405AA" w:rsidRDefault="00C405AA" w:rsidP="00C405AA">
      <w:pPr>
        <w:pStyle w:val="Standard"/>
        <w:autoSpaceDE w:val="0"/>
        <w:rPr>
          <w:rFonts w:ascii="Arial" w:eastAsia="Times New Roman" w:hAnsi="Arial" w:cs="Arial"/>
          <w:sz w:val="22"/>
          <w:szCs w:val="22"/>
        </w:rPr>
      </w:pPr>
    </w:p>
    <w:p w14:paraId="29B30915" w14:textId="77777777" w:rsidR="007E5D98" w:rsidRPr="007E5D98" w:rsidRDefault="00967EB9" w:rsidP="00967EB9">
      <w:pPr>
        <w:rPr>
          <w:rFonts w:ascii="Arial" w:hAnsi="Arial" w:cs="Arial"/>
          <w:sz w:val="22"/>
          <w:szCs w:val="22"/>
        </w:rPr>
      </w:pPr>
      <w:r w:rsidRPr="00967EB9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Eligible individuals include </w:t>
      </w:r>
      <w:r w:rsidR="00B04A40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a </w:t>
      </w:r>
      <w:r w:rsidR="00DE11FA">
        <w:rPr>
          <w:rFonts w:ascii="Arial" w:hAnsi="Arial" w:cs="Arial"/>
          <w:kern w:val="3"/>
          <w:sz w:val="22"/>
          <w:szCs w:val="22"/>
          <w:lang w:eastAsia="zh-CN" w:bidi="hi-IN"/>
        </w:rPr>
        <w:t>patient</w:t>
      </w:r>
      <w:r w:rsidRPr="00967EB9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 who do</w:t>
      </w:r>
      <w:r w:rsidR="00B04A40">
        <w:rPr>
          <w:rFonts w:ascii="Arial" w:hAnsi="Arial" w:cs="Arial"/>
          <w:kern w:val="3"/>
          <w:sz w:val="22"/>
          <w:szCs w:val="22"/>
          <w:lang w:eastAsia="zh-CN" w:bidi="hi-IN"/>
        </w:rPr>
        <w:t>es</w:t>
      </w:r>
      <w:r w:rsidRPr="00967EB9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 not have insurance and </w:t>
      </w:r>
      <w:r w:rsidR="00B04A40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a </w:t>
      </w:r>
      <w:r w:rsidR="00DE11FA">
        <w:rPr>
          <w:rFonts w:ascii="Arial" w:hAnsi="Arial" w:cs="Arial"/>
          <w:kern w:val="3"/>
          <w:sz w:val="22"/>
          <w:szCs w:val="22"/>
          <w:lang w:eastAsia="zh-CN" w:bidi="hi-IN"/>
        </w:rPr>
        <w:t>patient</w:t>
      </w:r>
      <w:r w:rsidRPr="00967EB9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 who </w:t>
      </w:r>
      <w:r w:rsidR="00B04A40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does </w:t>
      </w:r>
      <w:r w:rsidRPr="00967EB9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have insurance but </w:t>
      </w:r>
      <w:r w:rsidR="00B04A40">
        <w:rPr>
          <w:rFonts w:ascii="Arial" w:hAnsi="Arial" w:cs="Arial"/>
          <w:kern w:val="3"/>
          <w:sz w:val="22"/>
          <w:szCs w:val="22"/>
          <w:lang w:eastAsia="zh-CN" w:bidi="hi-IN"/>
        </w:rPr>
        <w:t>is</w:t>
      </w:r>
      <w:r w:rsidR="00B04A40" w:rsidRPr="00967EB9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967EB9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underinsured. </w:t>
      </w:r>
      <w:r w:rsidR="00DE11FA">
        <w:rPr>
          <w:rFonts w:ascii="Arial" w:hAnsi="Arial" w:cs="Arial"/>
          <w:kern w:val="3"/>
          <w:sz w:val="22"/>
          <w:szCs w:val="22"/>
          <w:lang w:eastAsia="zh-CN" w:bidi="hi-IN"/>
        </w:rPr>
        <w:t>Patient</w:t>
      </w:r>
      <w:r w:rsidRPr="00967EB9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 must cooperate with any insurance claim submission and exhaust their insurance or potential insurance coverage before </w:t>
      </w:r>
      <w:r w:rsidRPr="00967EB9">
        <w:rPr>
          <w:rFonts w:ascii="Arial" w:hAnsi="Arial" w:cs="Arial"/>
          <w:kern w:val="3"/>
          <w:sz w:val="22"/>
          <w:szCs w:val="22"/>
          <w:lang w:eastAsia="zh-CN" w:bidi="hi-IN"/>
        </w:rPr>
        <w:lastRenderedPageBreak/>
        <w:t>becoming eligible for financial assistance.</w:t>
      </w:r>
      <w:r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 </w:t>
      </w:r>
      <w:r w:rsidR="007E5D98" w:rsidRPr="007E5D98">
        <w:rPr>
          <w:rFonts w:ascii="Arial" w:hAnsi="Arial" w:cs="Arial"/>
          <w:sz w:val="22"/>
          <w:szCs w:val="22"/>
        </w:rPr>
        <w:t xml:space="preserve">The basis for the amounts </w:t>
      </w:r>
      <w:r w:rsidR="007E5D98" w:rsidRPr="007E5D98">
        <w:rPr>
          <w:rFonts w:ascii="Arial" w:hAnsi="Arial" w:cs="Arial"/>
          <w:color w:val="000000"/>
          <w:sz w:val="22"/>
          <w:szCs w:val="22"/>
        </w:rPr>
        <w:t>CenterPointe Health System</w:t>
      </w:r>
      <w:r w:rsidR="007E5D98" w:rsidRPr="007E5D98">
        <w:rPr>
          <w:rFonts w:ascii="Arial" w:hAnsi="Arial" w:cs="Arial"/>
          <w:sz w:val="22"/>
          <w:szCs w:val="22"/>
        </w:rPr>
        <w:t xml:space="preserve"> will charge </w:t>
      </w:r>
      <w:r w:rsidR="00DE11FA">
        <w:rPr>
          <w:rFonts w:ascii="Arial" w:hAnsi="Arial" w:cs="Arial"/>
          <w:sz w:val="22"/>
          <w:szCs w:val="22"/>
        </w:rPr>
        <w:t>patient</w:t>
      </w:r>
      <w:r w:rsidR="007E5D98" w:rsidRPr="007E5D98">
        <w:rPr>
          <w:rFonts w:ascii="Arial" w:hAnsi="Arial" w:cs="Arial"/>
          <w:sz w:val="22"/>
          <w:szCs w:val="22"/>
        </w:rPr>
        <w:t xml:space="preserve"> qualifying for financial assistance is as follows:</w:t>
      </w:r>
    </w:p>
    <w:p w14:paraId="5470272C" w14:textId="77777777" w:rsidR="007E5D98" w:rsidRDefault="007E5D98" w:rsidP="007E5D98">
      <w:pPr>
        <w:pStyle w:val="Standard"/>
        <w:autoSpaceDE w:val="0"/>
      </w:pPr>
    </w:p>
    <w:p w14:paraId="6D9B93D4" w14:textId="77777777" w:rsidR="00967EB9" w:rsidRPr="00967EB9" w:rsidRDefault="00967EB9" w:rsidP="00967EB9">
      <w:pPr>
        <w:numPr>
          <w:ilvl w:val="0"/>
          <w:numId w:val="2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967EB9">
        <w:rPr>
          <w:rFonts w:ascii="ArialMT" w:hAnsi="ArialMT" w:cs="ArialMT"/>
          <w:sz w:val="22"/>
          <w:szCs w:val="22"/>
        </w:rPr>
        <w:t xml:space="preserve">The minimum criteria for full (100 percent) charity write-off will be 200 percent of the most recent Federal Poverty Income Guidelines.  </w:t>
      </w:r>
    </w:p>
    <w:p w14:paraId="04832BD9" w14:textId="77777777" w:rsidR="00967EB9" w:rsidRPr="00967EB9" w:rsidRDefault="00967EB9" w:rsidP="00967EB9">
      <w:pPr>
        <w:autoSpaceDE w:val="0"/>
        <w:autoSpaceDN w:val="0"/>
        <w:adjustRightInd w:val="0"/>
        <w:ind w:firstLine="720"/>
        <w:rPr>
          <w:rFonts w:ascii="ArialMT" w:hAnsi="ArialMT" w:cs="ArialMT"/>
          <w:sz w:val="22"/>
          <w:szCs w:val="22"/>
        </w:rPr>
      </w:pPr>
      <w:r w:rsidRPr="00967EB9">
        <w:rPr>
          <w:rFonts w:ascii="ArialMT" w:hAnsi="ArialMT" w:cs="ArialMT"/>
          <w:sz w:val="22"/>
          <w:szCs w:val="22"/>
        </w:rPr>
        <w:t xml:space="preserve"> </w:t>
      </w:r>
    </w:p>
    <w:p w14:paraId="3735D2D0" w14:textId="77777777" w:rsidR="00967EB9" w:rsidRPr="00967EB9" w:rsidRDefault="00967EB9" w:rsidP="00967EB9">
      <w:pPr>
        <w:numPr>
          <w:ilvl w:val="0"/>
          <w:numId w:val="2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967EB9">
        <w:rPr>
          <w:rFonts w:ascii="ArialMT" w:hAnsi="ArialMT" w:cs="ArialMT"/>
          <w:sz w:val="22"/>
          <w:szCs w:val="22"/>
        </w:rPr>
        <w:t xml:space="preserve">Minimum criteria for partial write-offs will be to grant </w:t>
      </w:r>
      <w:r w:rsidR="00DE11FA">
        <w:rPr>
          <w:rFonts w:ascii="ArialMT" w:hAnsi="ArialMT" w:cs="ArialMT"/>
          <w:sz w:val="22"/>
          <w:szCs w:val="22"/>
        </w:rPr>
        <w:t>patient</w:t>
      </w:r>
      <w:r w:rsidRPr="00967EB9">
        <w:rPr>
          <w:rFonts w:ascii="ArialMT" w:hAnsi="ArialMT" w:cs="ArialMT"/>
          <w:sz w:val="22"/>
          <w:szCs w:val="22"/>
        </w:rPr>
        <w:t xml:space="preserve"> earning between 201 and 400 percent of the Federal Poverty Income Guidelines some level of discount depending on the circumstances in each case</w:t>
      </w:r>
      <w:r w:rsidR="00C405AA">
        <w:rPr>
          <w:rFonts w:ascii="ArialMT" w:hAnsi="ArialMT" w:cs="ArialMT"/>
          <w:sz w:val="22"/>
          <w:szCs w:val="22"/>
        </w:rPr>
        <w:t>.</w:t>
      </w:r>
      <w:r w:rsidRPr="00967EB9">
        <w:rPr>
          <w:rFonts w:ascii="ArialMT" w:hAnsi="ArialMT" w:cs="ArialMT"/>
          <w:sz w:val="22"/>
          <w:szCs w:val="22"/>
        </w:rPr>
        <w:t xml:space="preserve"> </w:t>
      </w:r>
    </w:p>
    <w:p w14:paraId="26E54B22" w14:textId="77777777" w:rsidR="00967EB9" w:rsidRPr="00967EB9" w:rsidRDefault="00967EB9" w:rsidP="00967EB9">
      <w:pPr>
        <w:autoSpaceDE w:val="0"/>
        <w:autoSpaceDN w:val="0"/>
        <w:adjustRightInd w:val="0"/>
        <w:ind w:firstLine="720"/>
        <w:rPr>
          <w:rFonts w:ascii="ArialMT" w:hAnsi="ArialMT" w:cs="ArialMT"/>
          <w:sz w:val="22"/>
          <w:szCs w:val="22"/>
        </w:rPr>
      </w:pPr>
      <w:r w:rsidRPr="00967EB9">
        <w:rPr>
          <w:rFonts w:ascii="ArialMT" w:hAnsi="ArialMT" w:cs="ArialMT"/>
          <w:sz w:val="22"/>
          <w:szCs w:val="22"/>
        </w:rPr>
        <w:t xml:space="preserve"> </w:t>
      </w:r>
    </w:p>
    <w:p w14:paraId="45801B76" w14:textId="77777777" w:rsidR="00967EB9" w:rsidRPr="00967EB9" w:rsidRDefault="00967EB9" w:rsidP="00967EB9">
      <w:pPr>
        <w:numPr>
          <w:ilvl w:val="0"/>
          <w:numId w:val="2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CenterPointe Health System</w:t>
      </w:r>
      <w:r w:rsidRPr="00967EB9">
        <w:rPr>
          <w:rFonts w:ascii="ArialMT" w:hAnsi="ArialMT" w:cs="ArialMT"/>
          <w:sz w:val="22"/>
          <w:szCs w:val="22"/>
        </w:rPr>
        <w:t xml:space="preserve"> policy may allow write-offs to </w:t>
      </w:r>
      <w:r w:rsidR="00DE11FA">
        <w:rPr>
          <w:rFonts w:ascii="ArialMT" w:hAnsi="ArialMT" w:cs="ArialMT"/>
          <w:sz w:val="22"/>
          <w:szCs w:val="22"/>
        </w:rPr>
        <w:t>patient</w:t>
      </w:r>
      <w:r w:rsidRPr="00967EB9">
        <w:rPr>
          <w:rFonts w:ascii="ArialMT" w:hAnsi="ArialMT" w:cs="ArialMT"/>
          <w:sz w:val="22"/>
          <w:szCs w:val="22"/>
        </w:rPr>
        <w:t xml:space="preserve"> with income levels over 400 percent of the Federal Poverty Guidelines</w:t>
      </w:r>
      <w:r w:rsidR="00E65B49">
        <w:rPr>
          <w:rFonts w:ascii="ArialMT" w:hAnsi="ArialMT" w:cs="ArialMT"/>
          <w:sz w:val="22"/>
          <w:szCs w:val="22"/>
        </w:rPr>
        <w:t>.</w:t>
      </w:r>
      <w:r w:rsidRPr="00967EB9">
        <w:rPr>
          <w:rFonts w:ascii="ArialMT" w:hAnsi="ArialMT" w:cs="ArialMT"/>
          <w:sz w:val="22"/>
          <w:szCs w:val="22"/>
        </w:rPr>
        <w:t xml:space="preserve">  </w:t>
      </w:r>
    </w:p>
    <w:p w14:paraId="5EAA5BFA" w14:textId="77777777" w:rsidR="007E5D98" w:rsidRPr="00273A04" w:rsidRDefault="007E5D98" w:rsidP="00426746">
      <w:pPr>
        <w:autoSpaceDE w:val="0"/>
        <w:autoSpaceDN w:val="0"/>
        <w:adjustRightInd w:val="0"/>
        <w:ind w:firstLine="720"/>
        <w:rPr>
          <w:rFonts w:ascii="ArialMT" w:hAnsi="ArialMT" w:cs="ArialMT"/>
          <w:sz w:val="22"/>
          <w:szCs w:val="22"/>
        </w:rPr>
      </w:pPr>
    </w:p>
    <w:p w14:paraId="4897650E" w14:textId="77777777" w:rsidR="00962531" w:rsidRPr="00273A04" w:rsidRDefault="00962531" w:rsidP="00962531">
      <w:pPr>
        <w:rPr>
          <w:rFonts w:ascii="Arial" w:hAnsi="Arial" w:cs="Arial"/>
          <w:sz w:val="22"/>
          <w:szCs w:val="22"/>
        </w:rPr>
      </w:pPr>
      <w:r w:rsidRPr="00273A04">
        <w:rPr>
          <w:rFonts w:ascii="Arial" w:hAnsi="Arial" w:cs="Arial"/>
          <w:sz w:val="22"/>
          <w:szCs w:val="22"/>
        </w:rPr>
        <w:t xml:space="preserve">Emergency services will be provided to all </w:t>
      </w:r>
      <w:r w:rsidR="00C405AA">
        <w:rPr>
          <w:rFonts w:ascii="Arial" w:hAnsi="Arial" w:cs="Arial"/>
          <w:sz w:val="22"/>
          <w:szCs w:val="22"/>
        </w:rPr>
        <w:t>patients</w:t>
      </w:r>
      <w:r w:rsidRPr="00273A04">
        <w:rPr>
          <w:rFonts w:ascii="Arial" w:hAnsi="Arial" w:cs="Arial"/>
          <w:sz w:val="22"/>
          <w:szCs w:val="22"/>
        </w:rPr>
        <w:t>, without regard to their ability to Pay.</w:t>
      </w:r>
    </w:p>
    <w:p w14:paraId="730C9EC1" w14:textId="77777777" w:rsidR="00962531" w:rsidRPr="00273A04" w:rsidRDefault="00962531" w:rsidP="00962531">
      <w:pPr>
        <w:rPr>
          <w:rFonts w:ascii="Arial" w:hAnsi="Arial" w:cs="Arial"/>
          <w:sz w:val="22"/>
          <w:szCs w:val="22"/>
        </w:rPr>
      </w:pPr>
    </w:p>
    <w:p w14:paraId="463335B1" w14:textId="77777777" w:rsidR="002B1E2F" w:rsidRDefault="00962531">
      <w:pPr>
        <w:rPr>
          <w:rFonts w:ascii="Arial" w:hAnsi="Arial" w:cs="Arial"/>
          <w:sz w:val="22"/>
          <w:szCs w:val="22"/>
        </w:rPr>
      </w:pPr>
      <w:r w:rsidRPr="00273A04">
        <w:rPr>
          <w:rFonts w:ascii="Arial" w:hAnsi="Arial" w:cs="Arial"/>
          <w:sz w:val="22"/>
          <w:szCs w:val="22"/>
        </w:rPr>
        <w:t xml:space="preserve">Non-emergent services will be provided to members in accordance with their payer’s benefit plan and/or contractual agreement with </w:t>
      </w:r>
      <w:r w:rsidR="003E46DF">
        <w:rPr>
          <w:rFonts w:ascii="Arial" w:hAnsi="Arial" w:cs="Arial"/>
          <w:sz w:val="22"/>
          <w:szCs w:val="22"/>
        </w:rPr>
        <w:t>CenterPointe Health System</w:t>
      </w:r>
      <w:r w:rsidRPr="00273A04">
        <w:rPr>
          <w:rFonts w:ascii="Arial" w:hAnsi="Arial" w:cs="Arial"/>
          <w:sz w:val="22"/>
          <w:szCs w:val="22"/>
        </w:rPr>
        <w:t xml:space="preserve">.  A </w:t>
      </w:r>
      <w:r w:rsidR="00DE11FA">
        <w:rPr>
          <w:rFonts w:ascii="Arial" w:hAnsi="Arial" w:cs="Arial"/>
          <w:sz w:val="22"/>
          <w:szCs w:val="22"/>
        </w:rPr>
        <w:t>patient</w:t>
      </w:r>
      <w:r w:rsidR="00531869">
        <w:rPr>
          <w:rFonts w:ascii="Arial" w:hAnsi="Arial" w:cs="Arial"/>
          <w:sz w:val="22"/>
          <w:szCs w:val="22"/>
        </w:rPr>
        <w:t xml:space="preserve"> </w:t>
      </w:r>
      <w:r w:rsidRPr="00273A04">
        <w:rPr>
          <w:rFonts w:ascii="Arial" w:hAnsi="Arial" w:cs="Arial"/>
          <w:sz w:val="22"/>
          <w:szCs w:val="22"/>
        </w:rPr>
        <w:t>may receive services outside of their pre-defined benefit plan, as long as they assume 100% of the fee assessment.</w:t>
      </w:r>
    </w:p>
    <w:p w14:paraId="359FB093" w14:textId="77777777" w:rsidR="00861A94" w:rsidRDefault="00861A94">
      <w:pPr>
        <w:rPr>
          <w:rFonts w:ascii="Arial" w:hAnsi="Arial" w:cs="Arial"/>
          <w:sz w:val="22"/>
          <w:szCs w:val="22"/>
        </w:rPr>
      </w:pPr>
    </w:p>
    <w:p w14:paraId="4A45D91C" w14:textId="77777777" w:rsidR="00861A94" w:rsidRPr="00861A94" w:rsidRDefault="00861A94" w:rsidP="00861A9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74A6DB9D" w14:textId="7173ABEE" w:rsidR="00861A94" w:rsidRPr="00852E42" w:rsidRDefault="00BD2561">
      <w:pPr>
        <w:rPr>
          <w:rFonts w:ascii="Arial" w:hAnsi="Arial" w:cs="Arial"/>
          <w:sz w:val="22"/>
          <w:szCs w:val="22"/>
        </w:rPr>
      </w:pPr>
      <w:r w:rsidRPr="00852E42">
        <w:rPr>
          <w:rFonts w:ascii="Arial" w:hAnsi="Arial" w:cs="Arial"/>
          <w:i/>
          <w:sz w:val="22"/>
          <w:szCs w:val="22"/>
        </w:rPr>
        <w:t>Source</w:t>
      </w:r>
      <w:r w:rsidRPr="00852E42">
        <w:rPr>
          <w:rFonts w:ascii="Arial" w:hAnsi="Arial" w:cs="Arial"/>
          <w:sz w:val="22"/>
          <w:szCs w:val="22"/>
        </w:rPr>
        <w:t>: CenterPoint</w:t>
      </w:r>
      <w:r w:rsidR="00CE21F5" w:rsidRPr="00852E42">
        <w:rPr>
          <w:rFonts w:ascii="Arial" w:hAnsi="Arial" w:cs="Arial"/>
          <w:sz w:val="22"/>
          <w:szCs w:val="22"/>
        </w:rPr>
        <w:t>e</w:t>
      </w:r>
      <w:r w:rsidRPr="00852E42">
        <w:rPr>
          <w:rFonts w:ascii="Arial" w:hAnsi="Arial" w:cs="Arial"/>
          <w:sz w:val="22"/>
          <w:szCs w:val="22"/>
        </w:rPr>
        <w:t xml:space="preserve"> Hospital. Used with permission.</w:t>
      </w:r>
      <w:bookmarkStart w:id="0" w:name="_GoBack"/>
      <w:bookmarkEnd w:id="0"/>
    </w:p>
    <w:sectPr w:rsidR="00861A94" w:rsidRPr="00852E42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FDEE9" w14:textId="77777777" w:rsidR="00846991" w:rsidRDefault="00846991">
      <w:r>
        <w:separator/>
      </w:r>
    </w:p>
  </w:endnote>
  <w:endnote w:type="continuationSeparator" w:id="0">
    <w:p w14:paraId="2DC74565" w14:textId="77777777" w:rsidR="00846991" w:rsidRDefault="0084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60"/>
      <w:gridCol w:w="7225"/>
      <w:gridCol w:w="1235"/>
    </w:tblGrid>
    <w:tr w:rsidR="00861A94" w14:paraId="4BECAE2D" w14:textId="77777777" w:rsidTr="00861A94">
      <w:tc>
        <w:tcPr>
          <w:tcW w:w="1260" w:type="dxa"/>
        </w:tcPr>
        <w:p w14:paraId="45F847EC" w14:textId="77777777" w:rsidR="00861A94" w:rsidRDefault="003E46DF" w:rsidP="00D31B64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Eff</w:t>
          </w:r>
          <w:r w:rsidR="00861A94">
            <w:rPr>
              <w:rFonts w:ascii="Arial" w:hAnsi="Arial" w:cs="Arial"/>
              <w:b/>
              <w:sz w:val="18"/>
              <w:szCs w:val="18"/>
            </w:rPr>
            <w:t xml:space="preserve">. </w:t>
          </w:r>
          <w:r w:rsidR="00D31B64">
            <w:rPr>
              <w:rFonts w:ascii="Arial" w:hAnsi="Arial" w:cs="Arial"/>
              <w:b/>
              <w:sz w:val="18"/>
              <w:szCs w:val="18"/>
            </w:rPr>
            <w:t>3</w:t>
          </w:r>
          <w:r>
            <w:rPr>
              <w:rFonts w:ascii="Arial" w:hAnsi="Arial" w:cs="Arial"/>
              <w:b/>
              <w:sz w:val="18"/>
              <w:szCs w:val="18"/>
            </w:rPr>
            <w:t>/</w:t>
          </w:r>
          <w:r w:rsidR="00D31B64">
            <w:rPr>
              <w:rFonts w:ascii="Arial" w:hAnsi="Arial" w:cs="Arial"/>
              <w:b/>
              <w:sz w:val="18"/>
              <w:szCs w:val="18"/>
            </w:rPr>
            <w:t>17</w:t>
          </w:r>
        </w:p>
      </w:tc>
      <w:tc>
        <w:tcPr>
          <w:tcW w:w="7225" w:type="dxa"/>
        </w:tcPr>
        <w:p w14:paraId="60EC1527" w14:textId="77777777" w:rsidR="00861A94" w:rsidRDefault="003E46DF" w:rsidP="003E46DF">
          <w:pPr>
            <w:pStyle w:val="Footer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Financial Assistance Policy</w:t>
          </w:r>
        </w:p>
      </w:tc>
      <w:tc>
        <w:tcPr>
          <w:tcW w:w="1235" w:type="dxa"/>
        </w:tcPr>
        <w:p w14:paraId="5BF47300" w14:textId="77777777" w:rsidR="00861A94" w:rsidRDefault="00861A94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C405AA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C405AA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1E2D2C2" w14:textId="77777777" w:rsidR="002B1E2F" w:rsidRDefault="002B1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C3139" w14:textId="77777777" w:rsidR="00846991" w:rsidRDefault="00846991">
      <w:r>
        <w:separator/>
      </w:r>
    </w:p>
  </w:footnote>
  <w:footnote w:type="continuationSeparator" w:id="0">
    <w:p w14:paraId="1FB91BE5" w14:textId="77777777" w:rsidR="00846991" w:rsidRDefault="0084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229CD" w14:textId="604ADF7A" w:rsidR="007B306F" w:rsidRPr="00852E42" w:rsidRDefault="001336CA" w:rsidP="00852E42">
    <w:pPr>
      <w:spacing w:before="10"/>
      <w:ind w:left="20"/>
      <w:rPr>
        <w:sz w:val="22"/>
        <w:szCs w:val="22"/>
      </w:rPr>
    </w:pPr>
    <w:r w:rsidRPr="001336CA">
      <w:rPr>
        <w:sz w:val="22"/>
        <w:szCs w:val="22"/>
      </w:rPr>
      <w:t>An HFMA Forums Tool (hfma.org/</w:t>
    </w:r>
    <w:r>
      <w:rPr>
        <w:sz w:val="22"/>
        <w:szCs w:val="22"/>
      </w:rPr>
      <w:t>f</w:t>
    </w:r>
    <w:r w:rsidRPr="001336CA">
      <w:rPr>
        <w:sz w:val="22"/>
        <w:szCs w:val="22"/>
      </w:rPr>
      <w:t>orums)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6EB3"/>
    <w:multiLevelType w:val="hybridMultilevel"/>
    <w:tmpl w:val="4678D40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09EE"/>
    <w:multiLevelType w:val="hybridMultilevel"/>
    <w:tmpl w:val="2F2C26D6"/>
    <w:lvl w:ilvl="0" w:tplc="F16EBD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3BF3"/>
    <w:multiLevelType w:val="hybridMultilevel"/>
    <w:tmpl w:val="2580155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574DE"/>
    <w:multiLevelType w:val="singleLevel"/>
    <w:tmpl w:val="43BE22AC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CA06156"/>
    <w:multiLevelType w:val="hybridMultilevel"/>
    <w:tmpl w:val="CAA2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2C6"/>
    <w:multiLevelType w:val="hybridMultilevel"/>
    <w:tmpl w:val="B88A19F8"/>
    <w:lvl w:ilvl="0" w:tplc="F5F0C26C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2" w:tplc="193091B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F5F0C2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226487"/>
    <w:multiLevelType w:val="hybridMultilevel"/>
    <w:tmpl w:val="C9D8E30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7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16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0015"/>
    <w:multiLevelType w:val="hybridMultilevel"/>
    <w:tmpl w:val="8AB0137E"/>
    <w:lvl w:ilvl="0" w:tplc="FFB0BB7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7080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CEA3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65255"/>
    <w:multiLevelType w:val="hybridMultilevel"/>
    <w:tmpl w:val="B7FCC9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350CE"/>
    <w:multiLevelType w:val="hybridMultilevel"/>
    <w:tmpl w:val="4C20B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32F"/>
    <w:multiLevelType w:val="hybridMultilevel"/>
    <w:tmpl w:val="D1EAA50A"/>
    <w:lvl w:ilvl="0" w:tplc="638202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852D5"/>
    <w:multiLevelType w:val="hybridMultilevel"/>
    <w:tmpl w:val="1D86141E"/>
    <w:lvl w:ilvl="0" w:tplc="2124BB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D3E20"/>
    <w:multiLevelType w:val="multilevel"/>
    <w:tmpl w:val="3E98E074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2F27755"/>
    <w:multiLevelType w:val="hybridMultilevel"/>
    <w:tmpl w:val="4FCEF18E"/>
    <w:lvl w:ilvl="0" w:tplc="56CC525E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color w:val="auto"/>
      </w:rPr>
    </w:lvl>
    <w:lvl w:ilvl="1" w:tplc="193091B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C9DA56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56CC52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83968"/>
    <w:multiLevelType w:val="multilevel"/>
    <w:tmpl w:val="149E39E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501D36E2"/>
    <w:multiLevelType w:val="hybridMultilevel"/>
    <w:tmpl w:val="8870AE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A446F"/>
    <w:multiLevelType w:val="multilevel"/>
    <w:tmpl w:val="40CA12F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6DB3E04"/>
    <w:multiLevelType w:val="hybridMultilevel"/>
    <w:tmpl w:val="ABAEE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5712E9"/>
    <w:multiLevelType w:val="hybridMultilevel"/>
    <w:tmpl w:val="427A8DA0"/>
    <w:lvl w:ilvl="0" w:tplc="F5F0C26C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52D21"/>
    <w:multiLevelType w:val="hybridMultilevel"/>
    <w:tmpl w:val="1EBC767E"/>
    <w:lvl w:ilvl="0" w:tplc="C9DA560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113D69"/>
    <w:multiLevelType w:val="hybridMultilevel"/>
    <w:tmpl w:val="5D9223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551DF"/>
    <w:multiLevelType w:val="hybridMultilevel"/>
    <w:tmpl w:val="3F6A2B3E"/>
    <w:lvl w:ilvl="0" w:tplc="79D8D8EE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4"/>
  </w:num>
  <w:num w:numId="5">
    <w:abstractNumId w:val="16"/>
  </w:num>
  <w:num w:numId="6">
    <w:abstractNumId w:val="8"/>
  </w:num>
  <w:num w:numId="7">
    <w:abstractNumId w:val="6"/>
  </w:num>
  <w:num w:numId="8">
    <w:abstractNumId w:val="2"/>
  </w:num>
  <w:num w:numId="9">
    <w:abstractNumId w:val="17"/>
  </w:num>
  <w:num w:numId="10">
    <w:abstractNumId w:val="20"/>
  </w:num>
  <w:num w:numId="11">
    <w:abstractNumId w:val="18"/>
  </w:num>
  <w:num w:numId="12">
    <w:abstractNumId w:val="5"/>
  </w:num>
  <w:num w:numId="13">
    <w:abstractNumId w:val="19"/>
  </w:num>
  <w:num w:numId="14">
    <w:abstractNumId w:val="7"/>
  </w:num>
  <w:num w:numId="15">
    <w:abstractNumId w:val="11"/>
  </w:num>
  <w:num w:numId="16">
    <w:abstractNumId w:val="13"/>
  </w:num>
  <w:num w:numId="17">
    <w:abstractNumId w:val="21"/>
  </w:num>
  <w:num w:numId="18">
    <w:abstractNumId w:val="9"/>
  </w:num>
  <w:num w:numId="19">
    <w:abstractNumId w:val="0"/>
  </w:num>
  <w:num w:numId="20">
    <w:abstractNumId w:val="1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97"/>
    <w:rsid w:val="00057416"/>
    <w:rsid w:val="00082800"/>
    <w:rsid w:val="000C5D4C"/>
    <w:rsid w:val="001336CA"/>
    <w:rsid w:val="00273A04"/>
    <w:rsid w:val="002B1E2F"/>
    <w:rsid w:val="00321AF7"/>
    <w:rsid w:val="00330AFC"/>
    <w:rsid w:val="00336F49"/>
    <w:rsid w:val="003417B0"/>
    <w:rsid w:val="00361806"/>
    <w:rsid w:val="003E46DF"/>
    <w:rsid w:val="00426746"/>
    <w:rsid w:val="00531869"/>
    <w:rsid w:val="005455D3"/>
    <w:rsid w:val="005A6554"/>
    <w:rsid w:val="005D6F5E"/>
    <w:rsid w:val="00635B50"/>
    <w:rsid w:val="00676097"/>
    <w:rsid w:val="006B55F0"/>
    <w:rsid w:val="006D1C00"/>
    <w:rsid w:val="006F21AE"/>
    <w:rsid w:val="007B306F"/>
    <w:rsid w:val="007E5D98"/>
    <w:rsid w:val="00846991"/>
    <w:rsid w:val="00852E42"/>
    <w:rsid w:val="00861A94"/>
    <w:rsid w:val="00885D43"/>
    <w:rsid w:val="008D6579"/>
    <w:rsid w:val="00906AB3"/>
    <w:rsid w:val="00912185"/>
    <w:rsid w:val="00962531"/>
    <w:rsid w:val="00967EB9"/>
    <w:rsid w:val="00A814E3"/>
    <w:rsid w:val="00B04A40"/>
    <w:rsid w:val="00B974B3"/>
    <w:rsid w:val="00BD2561"/>
    <w:rsid w:val="00BE25A5"/>
    <w:rsid w:val="00BF575B"/>
    <w:rsid w:val="00C405AA"/>
    <w:rsid w:val="00C6013F"/>
    <w:rsid w:val="00CE21F5"/>
    <w:rsid w:val="00D31B64"/>
    <w:rsid w:val="00DC5FD3"/>
    <w:rsid w:val="00DE11FA"/>
    <w:rsid w:val="00E65B49"/>
    <w:rsid w:val="00F80E96"/>
    <w:rsid w:val="00FC686D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2F9B331"/>
  <w15:docId w15:val="{CC473790-75E7-4693-BEF9-C3F3F8A8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40"/>
      <w:ind w:left="120" w:right="460"/>
      <w:outlineLvl w:val="0"/>
    </w:pPr>
    <w:rPr>
      <w:b/>
      <w:bCs/>
      <w:szCs w:val="18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num" w:pos="720"/>
      </w:tabs>
      <w:ind w:left="720" w:hanging="360"/>
    </w:pPr>
    <w:rPr>
      <w:rFonts w:ascii="Arial" w:hAnsi="Arial" w:cs="Arial"/>
    </w:rPr>
  </w:style>
  <w:style w:type="paragraph" w:styleId="BlockText">
    <w:name w:val="Block Text"/>
    <w:basedOn w:val="Normal"/>
    <w:semiHidden/>
    <w:pPr>
      <w:tabs>
        <w:tab w:val="left" w:pos="8730"/>
      </w:tabs>
      <w:spacing w:before="240"/>
      <w:ind w:left="90" w:right="-90"/>
    </w:pPr>
  </w:style>
  <w:style w:type="paragraph" w:styleId="FootnoteText">
    <w:name w:val="footnote text"/>
    <w:basedOn w:val="Normal"/>
    <w:semiHidden/>
    <w:rPr>
      <w:rFonts w:ascii="Arial" w:hAnsi="Arial" w:cs="Arial"/>
      <w:bCs/>
      <w:color w:val="000000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4E3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alloonTextChar">
    <w:name w:val="Balloon Text Char"/>
    <w:link w:val="BalloonText"/>
    <w:uiPriority w:val="99"/>
    <w:semiHidden/>
    <w:rsid w:val="00A814E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E46D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0" ma:contentTypeDescription="Create a new document." ma:contentTypeScope="" ma:versionID="3b1de7afd1791d20e9ef958e9917bfbb">
  <xsd:schema xmlns:xsd="http://www.w3.org/2001/XMLSchema" xmlns:xs="http://www.w3.org/2001/XMLSchema" xmlns:p="http://schemas.microsoft.com/office/2006/metadata/properties" xmlns:ns2="c714058f-4a6e-4e5a-8e7b-04766cc098e5" xmlns:ns3="5b4b86c5-475f-485b-ac30-381e64ef08ac" targetNamespace="http://schemas.microsoft.com/office/2006/metadata/properties" ma:root="true" ma:fieldsID="14ac56b41c07398da0921d6d294746b8" ns2:_="" ns3:_="">
    <xsd:import namespace="c714058f-4a6e-4e5a-8e7b-04766cc098e5"/>
    <xsd:import namespace="5b4b86c5-475f-485b-ac30-381e64ef08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29113-48D8-498D-B602-6786F7B3418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b4b86c5-475f-485b-ac30-381e64ef08ac"/>
    <ds:schemaRef ds:uri="http://www.w3.org/XML/1998/namespace"/>
    <ds:schemaRef ds:uri="http://purl.org/dc/elements/1.1/"/>
    <ds:schemaRef ds:uri="c714058f-4a6e-4e5a-8e7b-04766cc098e5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A77C99-1A83-4362-9E66-119A9738C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4058f-4a6e-4e5a-8e7b-04766cc098e5"/>
    <ds:schemaRef ds:uri="5b4b86c5-475f-485b-ac30-381e64ef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45B3A-B9AE-48C1-9B55-A0EA27079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</vt:lpstr>
    </vt:vector>
  </TitlesOfParts>
  <Company>Hewlett-Packard Company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</dc:title>
  <dc:creator>Devine Brown</dc:creator>
  <cp:lastModifiedBy>Betty Hintch</cp:lastModifiedBy>
  <cp:revision>5</cp:revision>
  <cp:lastPrinted>2018-03-12T21:11:00Z</cp:lastPrinted>
  <dcterms:created xsi:type="dcterms:W3CDTF">2019-02-06T18:00:00Z</dcterms:created>
  <dcterms:modified xsi:type="dcterms:W3CDTF">2019-02-06T18:05:00Z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</Properties>
</file>